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755B" wp14:editId="184101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445915">
              <w:rPr>
                <w:rFonts w:ascii="Bookman Old Style" w:hAnsi="Bookman Old Style"/>
                <w:b/>
                <w:sz w:val="52"/>
              </w:rPr>
              <w:t>20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716779">
              <w:rPr>
                <w:rFonts w:ascii="Bookman Old Style" w:hAnsi="Bookman Old Style"/>
                <w:b/>
                <w:sz w:val="52"/>
              </w:rPr>
              <w:t>04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467C1E">
              <w:rPr>
                <w:rFonts w:ascii="Bookman Old Style" w:hAnsi="Bookman Old Style"/>
                <w:b/>
                <w:sz w:val="52"/>
              </w:rPr>
              <w:t>24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04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0A2A88" w:rsidRDefault="00BF5C8B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</w:t>
            </w:r>
            <w:r w:rsidR="000E1742">
              <w:rPr>
                <w:rFonts w:ascii="Bookman Old Style" w:hAnsi="Bookman Old Style"/>
                <w:sz w:val="18"/>
                <w:szCs w:val="18"/>
              </w:rPr>
              <w:t>saní souhlásek uvnitř a na konci slov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– </w:t>
            </w:r>
            <w:r w:rsidR="00C84DE6">
              <w:rPr>
                <w:rFonts w:ascii="Bookman Old Style" w:hAnsi="Bookman Old Style"/>
                <w:sz w:val="18"/>
                <w:szCs w:val="18"/>
              </w:rPr>
              <w:t>opakování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C84DE6" w:rsidRPr="000A2A88" w:rsidRDefault="00C84DE6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Slova se sku</w:t>
            </w:r>
            <w:bookmarkStart w:id="0" w:name="_GoBack"/>
            <w:bookmarkEnd w:id="0"/>
            <w:r>
              <w:rPr>
                <w:rFonts w:ascii="Bookman Old Style" w:hAnsi="Bookman Old Style"/>
                <w:sz w:val="18"/>
                <w:szCs w:val="18"/>
              </w:rPr>
              <w:t xml:space="preserve">pinami DĚ,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TĚ, NĚ</w:t>
            </w:r>
            <w:proofErr w:type="gramEnd"/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+ BĚ, PĚ, VĚ, MĚ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>80 – 86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>22 – 2</w:t>
            </w:r>
            <w:r w:rsidR="00467C1E"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nářská </w:t>
            </w:r>
            <w:proofErr w:type="gramStart"/>
            <w:r w:rsidR="00445915">
              <w:rPr>
                <w:rFonts w:ascii="Bookman Old Style" w:hAnsi="Bookman Old Style"/>
                <w:sz w:val="18"/>
                <w:szCs w:val="18"/>
              </w:rPr>
              <w:t>dílna –  společná</w:t>
            </w:r>
            <w:proofErr w:type="gramEnd"/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práce s</w:t>
            </w:r>
            <w:r>
              <w:rPr>
                <w:rFonts w:ascii="Bookman Old Style" w:hAnsi="Bookman Old Style"/>
                <w:sz w:val="18"/>
                <w:szCs w:val="18"/>
              </w:rPr>
              <w:t> knihami z „Kufru knih“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 –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vzkaz, správa + sociometrický dotazník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>---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 xml:space="preserve">24 – </w:t>
            </w:r>
            <w:proofErr w:type="gramStart"/>
            <w:r w:rsidR="00445915">
              <w:rPr>
                <w:rFonts w:ascii="Bookman Old Style" w:hAnsi="Bookman Old Style"/>
                <w:b/>
                <w:sz w:val="18"/>
                <w:szCs w:val="18"/>
              </w:rPr>
              <w:t>25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E72E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>přesmyčky</w:t>
            </w:r>
            <w:proofErr w:type="gramEnd"/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843D4D" w:rsidRDefault="00387C72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rozdíl v psané/slyšené podobě některých slov s párovými souhláskami.</w:t>
            </w:r>
          </w:p>
          <w:p w:rsidR="00C84DE6" w:rsidRPr="002A1312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se skupinami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dě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tě, ně</w:t>
            </w:r>
            <w:proofErr w:type="gram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 a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bě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pě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vě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>, mě</w:t>
            </w:r>
            <w:r>
              <w:rPr>
                <w:rFonts w:ascii="Bookman Old Style" w:hAnsi="Bookman Old Style"/>
                <w:sz w:val="16"/>
                <w:szCs w:val="16"/>
              </w:rPr>
              <w:t>,</w:t>
            </w:r>
          </w:p>
          <w:p w:rsidR="008F34C6" w:rsidRDefault="008F34C6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Čtu s porozuměním,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vyhledávám  informace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 v textu podle pokynů paní učitelky.</w:t>
            </w:r>
          </w:p>
          <w:p w:rsidR="00445915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</w:t>
            </w:r>
            <w:r w:rsidR="00445915">
              <w:rPr>
                <w:rFonts w:ascii="Bookman Old Style" w:hAnsi="Bookman Old Style"/>
                <w:sz w:val="16"/>
                <w:szCs w:val="16"/>
              </w:rPr>
              <w:t> porozuměním.</w:t>
            </w:r>
          </w:p>
          <w:p w:rsidR="005C48D6" w:rsidRPr="005C48D6" w:rsidRDefault="00445915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Umím napsat zprávu, vzkaz.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DC3D2C" w:rsidRPr="00211281" w:rsidRDefault="006F2A3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41, 42</w:t>
            </w:r>
          </w:p>
          <w:p w:rsidR="00211281" w:rsidRPr="00211281" w:rsidRDefault="0021128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I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x I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don´t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</w:p>
          <w:p w:rsidR="00211281" w:rsidRPr="006F2A31" w:rsidRDefault="0021128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11281">
              <w:rPr>
                <w:rFonts w:ascii="Bookman Old Style" w:hAnsi="Bookman Old Style"/>
                <w:sz w:val="18"/>
                <w:szCs w:val="18"/>
              </w:rPr>
              <w:t>He/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she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likes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x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doesn´t</w:t>
            </w:r>
            <w:proofErr w:type="spellEnd"/>
            <w:r w:rsidRPr="0021128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11281">
              <w:rPr>
                <w:rFonts w:ascii="Bookman Old Style" w:hAnsi="Bookman Old Style"/>
                <w:sz w:val="18"/>
                <w:szCs w:val="18"/>
              </w:rPr>
              <w:t>like</w:t>
            </w:r>
            <w:proofErr w:type="spellEnd"/>
          </w:p>
          <w:p w:rsidR="006F2A31" w:rsidRPr="007C3ECA" w:rsidRDefault="006F2A3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Video píseň 2</w:t>
            </w:r>
          </w:p>
        </w:tc>
        <w:tc>
          <w:tcPr>
            <w:tcW w:w="4094" w:type="dxa"/>
            <w:vAlign w:val="center"/>
          </w:tcPr>
          <w:p w:rsidR="00990FF4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>i</w:t>
            </w:r>
            <w:r w:rsidR="007E6C17">
              <w:rPr>
                <w:rFonts w:ascii="Bookman Old Style" w:hAnsi="Bookman Old Style"/>
                <w:sz w:val="18"/>
                <w:szCs w:val="16"/>
              </w:rPr>
              <w:t xml:space="preserve"> různé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 xml:space="preserve"> pokrmy</w:t>
            </w:r>
            <w:r w:rsidR="007E6C17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873804" w:rsidRDefault="00107BD0" w:rsidP="00211281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Vyjádřím (ne)libost –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.</w:t>
            </w:r>
            <w:r w:rsidR="00211281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  <w:p w:rsidR="00211281" w:rsidRPr="00211281" w:rsidRDefault="00211281" w:rsidP="00211281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Rozumím větám He/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she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likes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</w:t>
            </w:r>
            <w:r w:rsidR="006F2A31">
              <w:rPr>
                <w:rFonts w:ascii="Bookman Old Style" w:hAnsi="Bookman Old Style"/>
                <w:sz w:val="18"/>
                <w:szCs w:val="16"/>
              </w:rPr>
              <w:t>he/</w:t>
            </w:r>
            <w:proofErr w:type="spellStart"/>
            <w:r w:rsidR="006F2A31">
              <w:rPr>
                <w:rFonts w:ascii="Bookman Old Style" w:hAnsi="Bookman Old Style"/>
                <w:sz w:val="18"/>
                <w:szCs w:val="16"/>
              </w:rPr>
              <w:t>she</w:t>
            </w:r>
            <w:proofErr w:type="spellEnd"/>
            <w:r w:rsidR="006F2A31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 w:rsidR="006F2A31">
              <w:rPr>
                <w:rFonts w:ascii="Bookman Old Style" w:hAnsi="Bookman Old Style"/>
                <w:sz w:val="18"/>
                <w:szCs w:val="16"/>
              </w:rPr>
              <w:t>doesn´t</w:t>
            </w:r>
            <w:proofErr w:type="spellEnd"/>
            <w:r w:rsidR="006F2A31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 w:rsidR="006F2A31"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 w:rsidR="006F2A31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</w:p>
          <w:p w:rsidR="00A91B64" w:rsidRDefault="00B41831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467C1E">
              <w:rPr>
                <w:rFonts w:ascii="Bookman Old Style" w:hAnsi="Bookman Old Style"/>
                <w:sz w:val="18"/>
                <w:szCs w:val="18"/>
              </w:rPr>
              <w:t>polopřímka + polopřímky opačné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804C7E">
              <w:rPr>
                <w:rFonts w:ascii="Bookman Old Style" w:hAnsi="Bookman Old Style"/>
                <w:b/>
                <w:sz w:val="18"/>
                <w:szCs w:val="18"/>
              </w:rPr>
              <w:t xml:space="preserve"> 10 – 17</w:t>
            </w:r>
          </w:p>
          <w:p w:rsidR="0063118F" w:rsidRPr="0063118F" w:rsidRDefault="009D0305" w:rsidP="00D76B65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</w:t>
            </w:r>
            <w:r w:rsidR="00804C7E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="00A57B78">
              <w:rPr>
                <w:rFonts w:ascii="Bookman Old Style" w:hAnsi="Bookman Old Style"/>
                <w:b/>
                <w:sz w:val="18"/>
                <w:szCs w:val="18"/>
              </w:rPr>
              <w:t xml:space="preserve"> str. </w:t>
            </w:r>
            <w:r w:rsidR="00467C1E">
              <w:rPr>
                <w:rFonts w:ascii="Bookman Old Style" w:hAnsi="Bookman Old Style"/>
                <w:b/>
                <w:sz w:val="18"/>
                <w:szCs w:val="18"/>
              </w:rPr>
              <w:t xml:space="preserve">32 + PS7 str. 1, 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="00467C1E">
              <w:rPr>
                <w:rFonts w:ascii="Bookman Old Style" w:hAnsi="Bookman Old Style"/>
                <w:b/>
                <w:sz w:val="18"/>
                <w:szCs w:val="18"/>
              </w:rPr>
              <w:t>, 5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5C48D6" w:rsidRPr="0050063B" w:rsidRDefault="00467C1E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Vymodeluji polopřímku, označím polopřímky opačné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D0AA5">
        <w:trPr>
          <w:trHeight w:val="1473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D92702" w:rsidRDefault="00EA7842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Svět se mění</w:t>
            </w:r>
          </w:p>
          <w:p w:rsidR="008F34C6" w:rsidRPr="00B100F0" w:rsidRDefault="00EA7842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Rok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 xml:space="preserve">Uč. </w:t>
            </w:r>
            <w:proofErr w:type="gramStart"/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str.</w:t>
            </w:r>
            <w:proofErr w:type="gramEnd"/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EA7842">
              <w:rPr>
                <w:rFonts w:ascii="Bookman Old Style" w:hAnsi="Bookman Old Style"/>
                <w:b/>
                <w:sz w:val="18"/>
                <w:szCs w:val="18"/>
              </w:rPr>
              <w:t>60-61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EA7842" w:rsidRPr="00467C1E" w:rsidRDefault="00BC6473" w:rsidP="00467C1E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467C1E">
              <w:rPr>
                <w:rFonts w:ascii="Bookman Old Style" w:hAnsi="Bookman Old Style"/>
                <w:sz w:val="16"/>
                <w:szCs w:val="16"/>
              </w:rPr>
              <w:t xml:space="preserve">Uvědomuji si </w:t>
            </w:r>
            <w:r w:rsidR="00EA7842" w:rsidRPr="00467C1E">
              <w:rPr>
                <w:rFonts w:ascii="Bookman Old Style" w:hAnsi="Bookman Old Style"/>
                <w:sz w:val="16"/>
                <w:szCs w:val="16"/>
              </w:rPr>
              <w:t>přítomnost, rozumím pojmům minulost a budoucnost.</w:t>
            </w:r>
          </w:p>
          <w:p w:rsidR="000A7930" w:rsidRPr="00B100F0" w:rsidRDefault="00EA7842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Vnímám rok jako celek i střídání ročních období.</w:t>
            </w:r>
            <w:r w:rsidR="00647657" w:rsidRPr="00B100F0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B100F0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DE1DD4" w:rsidRDefault="00804C7E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804C7E" w:rsidRPr="00804C7E" w:rsidRDefault="00804C7E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23. 4. Rodičovská schůzka od 16h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DDE8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5D42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4975"/>
    <w:rsid w:val="0032454C"/>
    <w:rsid w:val="00325A5C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84DE6"/>
    <w:rsid w:val="00CB1726"/>
    <w:rsid w:val="00CC7CC7"/>
    <w:rsid w:val="00CD346B"/>
    <w:rsid w:val="00CE72E5"/>
    <w:rsid w:val="00CF26B2"/>
    <w:rsid w:val="00D10C74"/>
    <w:rsid w:val="00D2134E"/>
    <w:rsid w:val="00D273BB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A7842"/>
    <w:rsid w:val="00EC2F01"/>
    <w:rsid w:val="00ED0AA5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45</cp:revision>
  <cp:lastPrinted>2026-03-16T07:30:00Z</cp:lastPrinted>
  <dcterms:created xsi:type="dcterms:W3CDTF">2026-02-16T05:29:00Z</dcterms:created>
  <dcterms:modified xsi:type="dcterms:W3CDTF">2026-04-19T17:58:00Z</dcterms:modified>
</cp:coreProperties>
</file>